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mbt Cultuurhuis, raad 9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mbt-Cultuurhuis-raad-9-jul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Gevolgen PFAS voor de gemeente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volgen-PFAS-voor-de-gemeente-Tynaar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voortgangsrapportage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voortgangsrapportage-huisvesting-statushou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Voortgangsrapportage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rapportage-huisvesting-vergunninghou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Rapportage eerste vier maanden 2019 RUD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pportage-eerste-vier-maanden-2019-RU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Brief aan RUD met reactie college rapportage eerste vier maanden.docx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Brief-aan-RUD-met-reactie-college-rapportage-eerste-vier-maanden-doc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Rapportage RUD Drenthe eerste vier maanden van 2019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Rapportage-RUD-Drenthe-eerste-vier-maanden-van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Brief RUD aan Colleges BW en GS 
              <text:s/>
              rapportage eerste vier maanden 2019 RUD Drenthe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Brief-RUD-aan-Colleges-BW-en-GS-rapportage-eerste-vier-maanden-2019-RUD-Drenth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Actualisatie na uitspraak Programma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03-09-2019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ctualisatie-na-uitspraak-Programma-Aanpak-Stik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7" meta:character-count="935" meta:non-whitespace-character-count="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